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 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of Law…………..….…...………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University for the Creative Arts….……..………………………........…...…….…….....…….…..…….…………….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Cardiff University is based in a busy city, whereas Aberystwyth University is located by the sea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and surrounding areas have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