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March </w:t>
      </w:r>
      <w:r w:rsidDel="00000000" w:rsidR="00000000" w:rsidRPr="00000000">
        <w:rPr>
          <w:b w:val="1"/>
          <w:sz w:val="18"/>
          <w:szCs w:val="18"/>
          <w:rtl w:val="0"/>
        </w:rPr>
        <w:t xml:space="preserve">17th virtual event. Login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www.ukunisearch.vfairs.com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’re interested in speaking to.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learn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of Law……....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…..….……………………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Falmouth University…………….….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Bishop Grosseteste.……...…..…….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Leeds Arts University……...…………………………………………....…...…….…..…….…..…….…………….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Cardiff University</w:t>
      </w:r>
      <w:r w:rsidDel="00000000" w:rsidR="00000000" w:rsidRPr="00000000">
        <w:rPr>
          <w:sz w:val="18"/>
          <w:szCs w:val="18"/>
          <w:rtl w:val="0"/>
        </w:rPr>
        <w:t xml:space="preserve"> is based in the heart of a busy city, whereas Brighton University is based by the sea.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Universities</w:t>
      </w:r>
      <w:r w:rsidDel="00000000" w:rsidR="00000000" w:rsidRPr="00000000">
        <w:rPr>
          <w:sz w:val="18"/>
          <w:szCs w:val="18"/>
          <w:rtl w:val="0"/>
        </w:rPr>
        <w:t xml:space="preserve"> and apprenticeships give you the skills needed to succeed in your chosen career. Speak to 2 exhibitors to find out what careers and pastoral support they offer and what past students have gone on to do.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