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b w:val="1"/>
          <w:color w:val="000000"/>
          <w:sz w:val="20"/>
          <w:szCs w:val="20"/>
          <w:rtl w:val="0"/>
        </w:rPr>
        <w:t xml:space="preserve">th </w:t>
      </w:r>
      <w:r w:rsidDel="00000000" w:rsidR="00000000" w:rsidRPr="00000000">
        <w:rPr>
          <w:rFonts w:ascii="Arial" w:cs="Arial" w:eastAsia="Arial" w:hAnsi="Arial"/>
          <w:b w:val="1"/>
          <w:sz w:val="20"/>
          <w:szCs w:val="20"/>
          <w:rtl w:val="0"/>
        </w:rPr>
        <w:t xml:space="preserve">October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years 1</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 1</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and 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as well as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color w:val="0000ff"/>
          <w:sz w:val="24"/>
          <w:szCs w:val="24"/>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http://ukunisearch.vfairs.com/</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Student Finance, and Apprenticeships. 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https://ukunisearch.vfairs.com/en/webinar-timetable</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After </w:t>
      </w:r>
      <w:r w:rsidDel="00000000" w:rsidR="00000000" w:rsidRPr="00000000">
        <w:rPr>
          <w:rFonts w:ascii="Arial" w:cs="Arial" w:eastAsia="Arial" w:hAnsi="Arial"/>
          <w:sz w:val="20"/>
          <w:szCs w:val="20"/>
          <w:rtl w:val="0"/>
        </w:rPr>
        <w:t xml:space="preserve">27th October</w:t>
      </w:r>
      <w:r w:rsidDel="00000000" w:rsidR="00000000" w:rsidRPr="00000000">
        <w:rPr>
          <w:rFonts w:ascii="Arial" w:cs="Arial" w:eastAsia="Arial" w:hAnsi="Arial"/>
          <w:color w:val="000000"/>
          <w:sz w:val="20"/>
          <w:szCs w:val="20"/>
          <w:rtl w:val="0"/>
        </w:rPr>
        <w:t xml:space="preserv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son or daughter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http://ukunisearch.vfairs.com/</w:t>
      </w:r>
    </w:p>
    <w:p w:rsidR="00000000" w:rsidDel="00000000" w:rsidP="00000000" w:rsidRDefault="00000000" w:rsidRPr="00000000" w14:paraId="0000000C">
      <w:pPr>
        <w:spacing w:line="276" w:lineRule="auto"/>
        <w:jc w:val="both"/>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E79B2"/>
    <w:rPr>
      <w:color w:val="0563c1" w:themeColor="hyperlink"/>
      <w:u w:val="single"/>
    </w:rPr>
  </w:style>
  <w:style w:type="character" w:styleId="UnresolvedMention">
    <w:name w:val="Unresolved Mention"/>
    <w:basedOn w:val="DefaultParagraphFont"/>
    <w:uiPriority w:val="99"/>
    <w:semiHidden w:val="1"/>
    <w:unhideWhenUsed w:val="1"/>
    <w:rsid w:val="001E79B2"/>
    <w:rPr>
      <w:color w:val="605e5c"/>
      <w:shd w:color="auto" w:fill="e1dfdd" w:val="clear"/>
    </w:rPr>
  </w:style>
  <w:style w:type="character" w:styleId="FollowedHyperlink">
    <w:name w:val="FollowedHyperlink"/>
    <w:basedOn w:val="DefaultParagraphFont"/>
    <w:uiPriority w:val="99"/>
    <w:semiHidden w:val="1"/>
    <w:unhideWhenUsed w:val="1"/>
    <w:rsid w:val="001E79B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83/1XxVCTegSFIrtfeJt70V/A==">AMUW2mW7MFnS2L0Iy4//I2ziq1bvKvUkN9NVugAv876NTIvmL+lP+ypRrMJRVTu4uxR6IUd66njKjP4ZEXBbuw35N5ImgCvPTVQ9mzmR6TUqzUzv7J3FehA=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2021-04-26T12:18:00Z</dcterms:created>
  <dc:creator>jude schofield</dc:creator>
</cp:coreProperties>
</file>